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AFB1" w14:textId="77777777" w:rsidR="00C02C98" w:rsidRPr="00C02C98" w:rsidRDefault="00C02C98" w:rsidP="00C02C98">
      <w:pPr>
        <w:shd w:val="clear" w:color="auto" w:fill="FFFFFF"/>
        <w:spacing w:after="75" w:line="240" w:lineRule="auto"/>
        <w:outlineLvl w:val="0"/>
        <w:rPr>
          <w:rFonts w:ascii="Roboto Condensed" w:eastAsia="Times New Roman" w:hAnsi="Roboto Condensed" w:cs="Times New Roman"/>
          <w:b/>
          <w:bCs/>
          <w:color w:val="3559A7"/>
          <w:kern w:val="36"/>
          <w:sz w:val="30"/>
          <w:szCs w:val="30"/>
        </w:rPr>
      </w:pPr>
      <w:r w:rsidRPr="00C02C98">
        <w:rPr>
          <w:rFonts w:ascii="Roboto Condensed" w:eastAsia="Times New Roman" w:hAnsi="Roboto Condensed" w:cs="Times New Roman"/>
          <w:b/>
          <w:bCs/>
          <w:color w:val="3559A7"/>
          <w:kern w:val="36"/>
          <w:sz w:val="30"/>
          <w:szCs w:val="30"/>
        </w:rPr>
        <w:t>Proof of Residency</w:t>
      </w:r>
    </w:p>
    <w:p w14:paraId="703F044C" w14:textId="77777777" w:rsidR="00C02C98" w:rsidRPr="00C02C98" w:rsidRDefault="00C02C98" w:rsidP="00C02C98">
      <w:pPr>
        <w:shd w:val="clear" w:color="auto" w:fill="FFFFFF"/>
        <w:spacing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b/>
          <w:bCs/>
          <w:color w:val="DC143C"/>
          <w:sz w:val="27"/>
          <w:szCs w:val="27"/>
        </w:rPr>
        <w:t>Proof of residence</w:t>
      </w:r>
      <w:r w:rsidRPr="00C02C98">
        <w:rPr>
          <w:rFonts w:ascii="Roboto" w:eastAsia="Times New Roman" w:hAnsi="Roboto" w:cs="Times New Roman"/>
          <w:b/>
          <w:bCs/>
          <w:color w:val="000000"/>
          <w:sz w:val="27"/>
          <w:szCs w:val="27"/>
        </w:rPr>
        <w:t> is required when a student initially enrolls in a Henry County school, whenever a change of residence occurs, or any time authorized school district personnel request proof of residency.</w:t>
      </w:r>
    </w:p>
    <w:p w14:paraId="3C94C023" w14:textId="77777777" w:rsidR="00C02C98" w:rsidRPr="00C02C98" w:rsidRDefault="00C02C98" w:rsidP="00C02C98">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b/>
          <w:bCs/>
          <w:color w:val="000000"/>
          <w:sz w:val="27"/>
          <w:szCs w:val="27"/>
        </w:rPr>
        <w:t>  The principal or designee shall accept the following records as proof of residency:</w:t>
      </w:r>
    </w:p>
    <w:p w14:paraId="319BC12D"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t>              a. </w:t>
      </w:r>
      <w:r w:rsidRPr="00C02C98">
        <w:rPr>
          <w:rFonts w:ascii="Roboto" w:eastAsia="Times New Roman" w:hAnsi="Roboto" w:cs="Times New Roman"/>
          <w:b/>
          <w:bCs/>
          <w:color w:val="000000"/>
          <w:sz w:val="27"/>
          <w:szCs w:val="27"/>
        </w:rPr>
        <w:t>A</w:t>
      </w:r>
      <w:r w:rsidRPr="00C02C98">
        <w:rPr>
          <w:rFonts w:ascii="Roboto" w:eastAsia="Times New Roman" w:hAnsi="Roboto" w:cs="Times New Roman"/>
          <w:color w:val="000000"/>
          <w:sz w:val="27"/>
          <w:szCs w:val="27"/>
        </w:rPr>
        <w:t> </w:t>
      </w:r>
      <w:r w:rsidRPr="00C02C98">
        <w:rPr>
          <w:rFonts w:ascii="Roboto" w:eastAsia="Times New Roman" w:hAnsi="Roboto" w:cs="Times New Roman"/>
          <w:b/>
          <w:bCs/>
          <w:color w:val="000000"/>
          <w:sz w:val="27"/>
          <w:szCs w:val="27"/>
        </w:rPr>
        <w:t>lease or rental agreement</w:t>
      </w:r>
      <w:r w:rsidRPr="00C02C98">
        <w:rPr>
          <w:rFonts w:ascii="Roboto" w:eastAsia="Times New Roman" w:hAnsi="Roboto" w:cs="Times New Roman"/>
          <w:color w:val="000000"/>
          <w:sz w:val="27"/>
          <w:szCs w:val="27"/>
        </w:rPr>
        <w:t> consisting of written evidence that the agreement is valid and current, </w:t>
      </w:r>
      <w:r w:rsidRPr="00C02C98">
        <w:rPr>
          <w:rFonts w:ascii="Roboto" w:eastAsia="Times New Roman" w:hAnsi="Roboto" w:cs="Times New Roman"/>
          <w:color w:val="000000"/>
          <w:sz w:val="27"/>
          <w:szCs w:val="27"/>
          <w:u w:val="single"/>
        </w:rPr>
        <w:t>and</w:t>
      </w:r>
      <w:r w:rsidRPr="00C02C98">
        <w:rPr>
          <w:rFonts w:ascii="Roboto" w:eastAsia="Times New Roman" w:hAnsi="Roboto" w:cs="Times New Roman"/>
          <w:color w:val="000000"/>
          <w:sz w:val="27"/>
          <w:szCs w:val="27"/>
        </w:rPr>
        <w:t> a </w:t>
      </w:r>
      <w:r w:rsidRPr="00C02C98">
        <w:rPr>
          <w:rFonts w:ascii="Roboto" w:eastAsia="Times New Roman" w:hAnsi="Roboto" w:cs="Times New Roman"/>
          <w:b/>
          <w:bCs/>
          <w:color w:val="000000"/>
          <w:sz w:val="27"/>
          <w:szCs w:val="27"/>
        </w:rPr>
        <w:t>current utility (to include electric, gas, water, cable, or sanitation) bill or letter of service</w:t>
      </w:r>
      <w:r w:rsidRPr="00C02C98">
        <w:rPr>
          <w:rFonts w:ascii="Roboto" w:eastAsia="Times New Roman" w:hAnsi="Roboto" w:cs="Times New Roman"/>
          <w:color w:val="000000"/>
          <w:sz w:val="27"/>
          <w:szCs w:val="27"/>
        </w:rPr>
        <w:t> from said company (utility bill must be separate from rental agreement). The utility bill or letter of service must be dated within the last </w:t>
      </w:r>
      <w:r w:rsidRPr="00C02C98">
        <w:rPr>
          <w:rFonts w:ascii="Roboto" w:eastAsia="Times New Roman" w:hAnsi="Roboto" w:cs="Times New Roman"/>
          <w:b/>
          <w:bCs/>
          <w:color w:val="000000"/>
          <w:sz w:val="27"/>
          <w:szCs w:val="27"/>
        </w:rPr>
        <w:t>60 days</w:t>
      </w:r>
      <w:r w:rsidRPr="00C02C98">
        <w:rPr>
          <w:rFonts w:ascii="Roboto" w:eastAsia="Times New Roman" w:hAnsi="Roboto" w:cs="Times New Roman"/>
          <w:color w:val="000000"/>
          <w:sz w:val="27"/>
          <w:szCs w:val="27"/>
        </w:rPr>
        <w:t>.</w:t>
      </w:r>
    </w:p>
    <w:p w14:paraId="3F4EB99C"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t>               Rental agreements must identify the parent as the tenant of record fiscally responsible for the residence listed in the agreement.  Parents listed as mere occupants of a stated residence are not considered tenants of the property for the purposes of enrollment.</w:t>
      </w:r>
    </w:p>
    <w:p w14:paraId="4A335C7B"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t xml:space="preserve">               All records must include the name and street address of the parent and service addresses must be plainly visible on the utility bill or letter of service provided as </w:t>
      </w:r>
      <w:proofErr w:type="gramStart"/>
      <w:r w:rsidRPr="00C02C98">
        <w:rPr>
          <w:rFonts w:ascii="Roboto" w:eastAsia="Times New Roman" w:hAnsi="Roboto" w:cs="Times New Roman"/>
          <w:color w:val="000000"/>
          <w:sz w:val="27"/>
          <w:szCs w:val="27"/>
        </w:rPr>
        <w:t>proof;</w:t>
      </w:r>
      <w:proofErr w:type="gramEnd"/>
    </w:p>
    <w:p w14:paraId="2F6FA71D"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b/>
          <w:bCs/>
          <w:color w:val="000000"/>
          <w:sz w:val="27"/>
          <w:szCs w:val="27"/>
        </w:rPr>
        <w:t>                                                                                                   OR</w:t>
      </w:r>
    </w:p>
    <w:p w14:paraId="696AC180"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t>               b. A current </w:t>
      </w:r>
      <w:r w:rsidRPr="00C02C98">
        <w:rPr>
          <w:rFonts w:ascii="Roboto" w:eastAsia="Times New Roman" w:hAnsi="Roboto" w:cs="Times New Roman"/>
          <w:b/>
          <w:bCs/>
          <w:color w:val="000000"/>
          <w:sz w:val="27"/>
          <w:szCs w:val="27"/>
        </w:rPr>
        <w:t>residential property tax statement</w:t>
      </w:r>
      <w:r w:rsidRPr="00C02C98">
        <w:rPr>
          <w:rFonts w:ascii="Roboto" w:eastAsia="Times New Roman" w:hAnsi="Roboto" w:cs="Times New Roman"/>
          <w:color w:val="000000"/>
          <w:sz w:val="27"/>
          <w:szCs w:val="27"/>
        </w:rPr>
        <w:t>, </w:t>
      </w:r>
      <w:r w:rsidRPr="00C02C98">
        <w:rPr>
          <w:rFonts w:ascii="Roboto" w:eastAsia="Times New Roman" w:hAnsi="Roboto" w:cs="Times New Roman"/>
          <w:b/>
          <w:bCs/>
          <w:color w:val="000000"/>
          <w:sz w:val="27"/>
          <w:szCs w:val="27"/>
        </w:rPr>
        <w:t>settlement statement</w:t>
      </w:r>
      <w:r w:rsidRPr="00C02C98">
        <w:rPr>
          <w:rFonts w:ascii="Roboto" w:eastAsia="Times New Roman" w:hAnsi="Roboto" w:cs="Times New Roman"/>
          <w:color w:val="000000"/>
          <w:sz w:val="27"/>
          <w:szCs w:val="27"/>
        </w:rPr>
        <w:t>, or </w:t>
      </w:r>
      <w:r w:rsidRPr="00C02C98">
        <w:rPr>
          <w:rFonts w:ascii="Roboto" w:eastAsia="Times New Roman" w:hAnsi="Roboto" w:cs="Times New Roman"/>
          <w:b/>
          <w:bCs/>
          <w:color w:val="000000"/>
          <w:sz w:val="27"/>
          <w:szCs w:val="27"/>
        </w:rPr>
        <w:t>closing disclosure</w:t>
      </w:r>
      <w:r w:rsidRPr="00C02C98">
        <w:rPr>
          <w:rFonts w:ascii="Roboto" w:eastAsia="Times New Roman" w:hAnsi="Roboto" w:cs="Times New Roman"/>
          <w:color w:val="000000"/>
          <w:sz w:val="27"/>
          <w:szCs w:val="27"/>
        </w:rPr>
        <w:t>, </w:t>
      </w:r>
      <w:r w:rsidRPr="00C02C98">
        <w:rPr>
          <w:rFonts w:ascii="Roboto" w:eastAsia="Times New Roman" w:hAnsi="Roboto" w:cs="Times New Roman"/>
          <w:color w:val="000000"/>
          <w:sz w:val="27"/>
          <w:szCs w:val="27"/>
          <w:u w:val="single"/>
        </w:rPr>
        <w:t>and</w:t>
      </w:r>
      <w:r w:rsidRPr="00C02C98">
        <w:rPr>
          <w:rFonts w:ascii="Roboto" w:eastAsia="Times New Roman" w:hAnsi="Roboto" w:cs="Times New Roman"/>
          <w:color w:val="000000"/>
          <w:sz w:val="27"/>
          <w:szCs w:val="27"/>
        </w:rPr>
        <w:t> a </w:t>
      </w:r>
      <w:r w:rsidRPr="00C02C98">
        <w:rPr>
          <w:rFonts w:ascii="Roboto" w:eastAsia="Times New Roman" w:hAnsi="Roboto" w:cs="Times New Roman"/>
          <w:b/>
          <w:bCs/>
          <w:color w:val="000000"/>
          <w:sz w:val="27"/>
          <w:szCs w:val="27"/>
        </w:rPr>
        <w:t>current utility (to include electric, gas, water, cable, or sanitation) bill or letter of service</w:t>
      </w:r>
      <w:r w:rsidRPr="00C02C98">
        <w:rPr>
          <w:rFonts w:ascii="Roboto" w:eastAsia="Times New Roman" w:hAnsi="Roboto" w:cs="Times New Roman"/>
          <w:color w:val="000000"/>
          <w:sz w:val="27"/>
          <w:szCs w:val="27"/>
        </w:rPr>
        <w:t> from said company.  The utility bill or letter of service must be dated within the last </w:t>
      </w:r>
      <w:r w:rsidRPr="00C02C98">
        <w:rPr>
          <w:rFonts w:ascii="Roboto" w:eastAsia="Times New Roman" w:hAnsi="Roboto" w:cs="Times New Roman"/>
          <w:b/>
          <w:bCs/>
          <w:color w:val="000000"/>
          <w:sz w:val="27"/>
          <w:szCs w:val="27"/>
        </w:rPr>
        <w:t>60 days</w:t>
      </w:r>
      <w:r w:rsidRPr="00C02C98">
        <w:rPr>
          <w:rFonts w:ascii="Roboto" w:eastAsia="Times New Roman" w:hAnsi="Roboto" w:cs="Times New Roman"/>
          <w:color w:val="000000"/>
          <w:sz w:val="27"/>
          <w:szCs w:val="27"/>
        </w:rPr>
        <w:t>.</w:t>
      </w:r>
    </w:p>
    <w:p w14:paraId="3F8E2DA8"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t xml:space="preserve">                 Parents not listed in ownership documents who are willing to provide evidence of their legal relationship to the property owner may submit legal documents for consideration as an authorized representative of the titleholder.  All records must include the name and street address of the parent and service addresses must be plainly visible on the utility bill or letter of service provided as </w:t>
      </w:r>
      <w:proofErr w:type="gramStart"/>
      <w:r w:rsidRPr="00C02C98">
        <w:rPr>
          <w:rFonts w:ascii="Roboto" w:eastAsia="Times New Roman" w:hAnsi="Roboto" w:cs="Times New Roman"/>
          <w:color w:val="000000"/>
          <w:sz w:val="27"/>
          <w:szCs w:val="27"/>
        </w:rPr>
        <w:t>proof;</w:t>
      </w:r>
      <w:proofErr w:type="gramEnd"/>
    </w:p>
    <w:p w14:paraId="4C7A5DEC"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b/>
          <w:bCs/>
          <w:color w:val="000000"/>
          <w:sz w:val="27"/>
          <w:szCs w:val="27"/>
        </w:rPr>
        <w:t>                                                                                                  OR</w:t>
      </w:r>
    </w:p>
    <w:p w14:paraId="0D72030D"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lastRenderedPageBreak/>
        <w:t>               c. A Henry County Schools </w:t>
      </w:r>
      <w:r w:rsidRPr="00C02C98">
        <w:rPr>
          <w:rFonts w:ascii="Roboto" w:eastAsia="Times New Roman" w:hAnsi="Roboto" w:cs="Times New Roman"/>
          <w:b/>
          <w:bCs/>
          <w:color w:val="000000"/>
          <w:sz w:val="27"/>
          <w:szCs w:val="27"/>
        </w:rPr>
        <w:t>Affidavit of Residency</w:t>
      </w:r>
      <w:r w:rsidRPr="00C02C98">
        <w:rPr>
          <w:rFonts w:ascii="Roboto" w:eastAsia="Times New Roman" w:hAnsi="Roboto" w:cs="Times New Roman"/>
          <w:color w:val="000000"/>
          <w:sz w:val="27"/>
          <w:szCs w:val="27"/>
        </w:rPr>
        <w:t>. A parent who resides full time in Henry County but is unable to provide the consistent records listed above may complete a Henry County Schools Affidavit of Residency. </w:t>
      </w:r>
    </w:p>
    <w:p w14:paraId="69EBB4CE"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t>                The affidavit shall be completed in the presence of school system personnel and be sworn to and signed by the parent in the presence of a notary public.  In addition, the legal owner or authorized tenant of the property where the student and parent reside may complete and sign the affidavit with school system personnel and provide the documentation required as proof of residence as noted in sections (a) and (b) above.</w:t>
      </w:r>
    </w:p>
    <w:p w14:paraId="12842DB0"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t>                The legal owner or authorized tenant of the property may also complete the affidavit and acquire notarization at another location, but it is the parent’s responsibility to deliver the original paperwork and the required proof of residence as noted in sections (a) and (b) above to school system personnel along with their documentation.</w:t>
      </w:r>
    </w:p>
    <w:p w14:paraId="73D96D29" w14:textId="77777777" w:rsidR="00C02C98" w:rsidRPr="00C02C98" w:rsidRDefault="00C02C98" w:rsidP="00C02C98">
      <w:pPr>
        <w:shd w:val="clear" w:color="auto" w:fill="FFFFFF"/>
        <w:spacing w:before="100" w:beforeAutospacing="1" w:after="100" w:afterAutospacing="1" w:line="240" w:lineRule="auto"/>
        <w:rPr>
          <w:rFonts w:ascii="Roboto" w:eastAsia="Times New Roman" w:hAnsi="Roboto" w:cs="Times New Roman"/>
          <w:color w:val="000000"/>
          <w:sz w:val="20"/>
          <w:szCs w:val="20"/>
        </w:rPr>
      </w:pPr>
      <w:r w:rsidRPr="00C02C98">
        <w:rPr>
          <w:rFonts w:ascii="Roboto" w:eastAsia="Times New Roman" w:hAnsi="Roboto" w:cs="Times New Roman"/>
          <w:color w:val="000000"/>
          <w:sz w:val="27"/>
          <w:szCs w:val="27"/>
        </w:rPr>
        <w:t xml:space="preserve">                The affidavit will be in effect until the parent provides the required proof of residence, the student completes all grades of the school, or the parent and child </w:t>
      </w:r>
      <w:proofErr w:type="gramStart"/>
      <w:r w:rsidRPr="00C02C98">
        <w:rPr>
          <w:rFonts w:ascii="Roboto" w:eastAsia="Times New Roman" w:hAnsi="Roboto" w:cs="Times New Roman"/>
          <w:color w:val="000000"/>
          <w:sz w:val="27"/>
          <w:szCs w:val="27"/>
        </w:rPr>
        <w:t>moves</w:t>
      </w:r>
      <w:proofErr w:type="gramEnd"/>
      <w:r w:rsidRPr="00C02C98">
        <w:rPr>
          <w:rFonts w:ascii="Roboto" w:eastAsia="Times New Roman" w:hAnsi="Roboto" w:cs="Times New Roman"/>
          <w:color w:val="000000"/>
          <w:sz w:val="27"/>
          <w:szCs w:val="27"/>
        </w:rPr>
        <w:t xml:space="preserve"> to another address for which an affidavit must be completed.</w:t>
      </w:r>
    </w:p>
    <w:p w14:paraId="4568945E" w14:textId="77777777" w:rsidR="00D72F80" w:rsidRPr="00C02C98" w:rsidRDefault="00D72F80" w:rsidP="00C02C98"/>
    <w:sectPr w:rsidR="00D72F80" w:rsidRPr="00C02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17E"/>
    <w:multiLevelType w:val="multilevel"/>
    <w:tmpl w:val="5008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98"/>
    <w:rsid w:val="00C02C98"/>
    <w:rsid w:val="00D7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6D94"/>
  <w15:chartTrackingRefBased/>
  <w15:docId w15:val="{17FCB396-73F4-46E1-B40C-1E0238C2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447783">
      <w:bodyDiv w:val="1"/>
      <w:marLeft w:val="0"/>
      <w:marRight w:val="0"/>
      <w:marTop w:val="0"/>
      <w:marBottom w:val="0"/>
      <w:divBdr>
        <w:top w:val="none" w:sz="0" w:space="0" w:color="auto"/>
        <w:left w:val="none" w:sz="0" w:space="0" w:color="auto"/>
        <w:bottom w:val="none" w:sz="0" w:space="0" w:color="auto"/>
        <w:right w:val="none" w:sz="0" w:space="0" w:color="auto"/>
      </w:divBdr>
      <w:divsChild>
        <w:div w:id="93385377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2849</Characters>
  <Application>Microsoft Office Word</Application>
  <DocSecurity>0</DocSecurity>
  <Lines>23</Lines>
  <Paragraphs>6</Paragraphs>
  <ScaleCrop>false</ScaleCrop>
  <Company>Henry County Schools</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Gray-Robinson, Summer (LMS Counselor)</dc:creator>
  <cp:keywords/>
  <dc:description/>
  <cp:lastModifiedBy>Gray-Robinson, Summer (LMS Counselor)</cp:lastModifiedBy>
  <cp:revision>1</cp:revision>
  <dcterms:created xsi:type="dcterms:W3CDTF">2023-04-25T16:10:00Z</dcterms:created>
  <dcterms:modified xsi:type="dcterms:W3CDTF">2023-04-25T16:11:00Z</dcterms:modified>
</cp:coreProperties>
</file>